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05:44 МСК · База обновлена: 18.07.2026, 02:54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55 лет, обратилась в поликлинику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кожный зуд, мышечную слабость в течение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последние 2 года отмечались повторные переломы правой голени с замедленной консолидацией. Был установлен остеопороз.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2"/>
      </w:pPr>
      <w:r>
        <w:t>2. Изображение №1</w:t>
      </w:r>
    </w:p>
    <w:p>
      <w:r>
        <w:drawing>
          <wp:inline xmlns:a="http://schemas.openxmlformats.org/drawingml/2006/main" xmlns:pic="http://schemas.openxmlformats.org/drawingml/2006/picture">
            <wp:extent cx="5303520" cy="183634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ce0ef0c7d00d2ee272210a56e35bdaa5a16d094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8363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№1</w:t>
      </w:r>
    </w:p>
    <w:p>
      <w:pPr>
        <w:pStyle w:val="Heading2"/>
      </w:pPr>
      <w:r>
        <w:t>3. Изображение №2</w:t>
      </w:r>
    </w:p>
    <w:p>
      <w:r>
        <w:drawing>
          <wp:inline xmlns:a="http://schemas.openxmlformats.org/drawingml/2006/main" xmlns:pic="http://schemas.openxmlformats.org/drawingml/2006/picture">
            <wp:extent cx="5303520" cy="324498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86144d8cff9b5c95a66d5e61c60e4dbf5a148d9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449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№2</w:t>
      </w:r>
    </w:p>
    <w:p>
      <w:pPr>
        <w:pStyle w:val="Heading2"/>
      </w:pPr>
      <w:r>
        <w:t>4. Изображение №3</w:t>
      </w:r>
    </w:p>
    <w:p>
      <w:r>
        <w:drawing>
          <wp:inline xmlns:a="http://schemas.openxmlformats.org/drawingml/2006/main" xmlns:pic="http://schemas.openxmlformats.org/drawingml/2006/picture">
            <wp:extent cx="5303520" cy="3155594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0abe401355d13577d4ef2883699a9cf7ff32c7a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555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№3</w:t>
      </w:r>
    </w:p>
    <w:p>
      <w:pPr>
        <w:pStyle w:val="Heading2"/>
      </w:pPr>
      <w:r>
        <w:t>5. Изображение №4</w:t>
      </w:r>
    </w:p>
    <w:p>
      <w:r>
        <w:drawing>
          <wp:inline xmlns:a="http://schemas.openxmlformats.org/drawingml/2006/main" xmlns:pic="http://schemas.openxmlformats.org/drawingml/2006/picture">
            <wp:extent cx="5303520" cy="4481848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b1059499cb873cf3f790b652d7c1831b1f54ce1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4818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№4</w:t>
      </w:r>
    </w:p>
    <w:p>
      <w:pPr>
        <w:pStyle w:val="Heading2"/>
      </w:pPr>
      <w:r>
        <w:t>6. Изображение №5</w:t>
      </w:r>
    </w:p>
    <w:p>
      <w:r>
        <w:drawing>
          <wp:inline xmlns:a="http://schemas.openxmlformats.org/drawingml/2006/main" xmlns:pic="http://schemas.openxmlformats.org/drawingml/2006/picture">
            <wp:extent cx="5303520" cy="2015338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230b3f06fadf0aeb628c46ffd661e5773100ea9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0153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№5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Назовите метод лучевой диагностики, который был выполнен и представлен на сканах (Изображение №1)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однофотонная эмиссионная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рентгеновская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линейная рентгеновская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рентгеновская компьютерная томография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Типом реконструкции, который выполнен для получения изображения №2,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проекция минимальной интенсивности (MinIP)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проекция максимальной интенсивности (MIP)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мультипланарная (MPR)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отображение затененных поверхностей (SSD)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мультипланарная (MPR)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изображении №2 представлена +______________+ проекция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коронарная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трансверзальная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коронарная</w:t>
      </w:r>
    </w:p>
    <w:p>
      <w:pPr>
        <w:ind w:left="504"/>
      </w:pPr>
      <w:r>
        <w:rPr>
          <w:b w:val="0"/>
          <w:i/>
        </w:rPr>
        <w:t>Основы лучевой диагностики и терапии / Глав. ред. тома С.К. Терновой. — М.: ГЭОТАР-Медиа, 2013. — 1000 с. — 558 стр (Серия «Национальные руководства»)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Стрелка на изображении №3 указывает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дугу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паращитовидную железу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тимус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щитовидную железу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щитовидную железу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Структура, указанная стрелкой на изображении №4,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гортанью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правым главным бронхом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пищеводом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трахеей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трахеей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Образование, указанное стрелками на томограммах (Изображение №5), имеет плотность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мягкотканную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хрящевую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жидкостную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мягкотканную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Образование, указанное стрелками на томограммах (Изображение №5), локализуется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трахее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верхнем средостении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верхней доле правого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нижнем средостении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верхнем средостении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Наиболее верным описанием выявленных изменений на томограммах (Изображение №5)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мягкотканная опухоль нижнего средостения, расположенная превертебрально, оттесняющяя пищевод вправо, без инвазии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мягкотканное образование верхнего средостения, оттесняющее пищевод и трахею вправо, без инвазии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кистозная опухоль верхнего средостения, с вовлечением дуги аорты и трахеи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жиросодержащее образование верхнего средостения, с мелкими кальцинатами в структуре, оттесняющее трахею, с инвазией ее левой полуокружности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мягкотканное образование верхнего средостения, оттесняющее пищевод и трахею вправо, без инвазии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с- 5 стр.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Из нижеперечисленных патологий, вероятнее всего, выявленные изменения на серии томограмм (Изображение №5) соответствуют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липоматозу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липоме верхнего средостения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тератоме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аденоме паращитовидной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аденоме паращитовидной железы</w:t>
      </w:r>
    </w:p>
    <w:p>
      <w:pPr>
        <w:ind w:left="504"/>
      </w:pPr>
      <w:r>
        <w:rPr>
          <w:b w:val="0"/>
          <w:i/>
        </w:rPr>
        <w:t>Труфанов Г.Е. Лучевая диагностика заболеваний шеи (конспект лучевого диагноста). /Труфанов Г.Е., Рязанов В.В., Бойков И.В. – Спб.: ЭЛБИ-СПБ, 2011-320 с- 277 стр.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заднем средостении расположены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диафрагмальный нерв, перикард, параперикардиальные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пищевод, грудная аорта, грудной лимфатический проток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вилочковая железа, аорта, пищевод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паращитовидные железы, трахея, щитовидная железа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пищевод, грудная аорта, грудной лимфатический проток</w:t>
      </w:r>
    </w:p>
    <w:p>
      <w:pPr>
        <w:ind w:left="504"/>
      </w:pPr>
      <w:r>
        <w:rPr>
          <w:b w:val="0"/>
          <w:i/>
        </w:rPr>
        <w:t>Анатомия человека под редакцией М.Р. Сапина. — М.: Медицина, 5-е изд., перераб. и доп. - М.: 2001. - Т.1 - 640с., Т.2 - 640с.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гормонпродуцирующей аденоме паращитовидной железы методом выбора является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заместительная 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удаление гиперфункционирующей ткани паращитовидной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гемодиализ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консервативное ведение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хирургическое удаление гиперфункционирующей ткани паращитовидной железы</w:t>
      </w:r>
    </w:p>
    <w:p>
      <w:pPr>
        <w:ind w:left="504"/>
      </w:pPr>
      <w:hyperlink r:id="rId28">
        <w:r>
          <w:rPr>
            <w:color w:val="173C49"/>
            <w:u w:val="single"/>
          </w:rPr>
          <w:t>Клинические рекомендации Минздрава России. Первичный гиперпаратиреоз, 2025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первичном этапе диагностики заболеваний паращитовидных желез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компьютерную томографию с болюсным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 исследование</w:t>
      </w:r>
    </w:p>
    <w:p>
      <w:pPr>
        <w:ind w:left="504"/>
      </w:pPr>
      <w:hyperlink r:id="rId28">
        <w:r>
          <w:rPr>
            <w:color w:val="173C49"/>
            <w:u w:val="single"/>
          </w:rPr>
          <w:t>Клинические рекомендации Минздрава России. Первичный гиперпаратиреоз, 2025 г.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jpg"/><Relationship Id="rId22" Type="http://schemas.openxmlformats.org/officeDocument/2006/relationships/image" Target="media/image7.jpg"/><Relationship Id="rId23" Type="http://schemas.openxmlformats.org/officeDocument/2006/relationships/image" Target="media/image8.jpg"/><Relationship Id="rId24" Type="http://schemas.openxmlformats.org/officeDocument/2006/relationships/image" Target="media/image9.png"/><Relationship Id="rId25" Type="http://schemas.openxmlformats.org/officeDocument/2006/relationships/image" Target="media/image10.png"/><Relationship Id="rId26" Type="http://schemas.openxmlformats.org/officeDocument/2006/relationships/image" Target="media/image11.png"/><Relationship Id="rId27" Type="http://schemas.openxmlformats.org/officeDocument/2006/relationships/image" Target="media/image12.png"/><Relationship Id="rId28" Type="http://schemas.openxmlformats.org/officeDocument/2006/relationships/hyperlink" Target="https://library.mededtech.ru/rest/documents/KP88_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